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Rule="auto"/>
        <w:jc w:val="center"/>
        <w:rPr>
          <w:b w:val="1"/>
          <w:color w:val="000000"/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  Паспорт «зелёной» инвестиционной площадки  № 14</w:t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b w:val="1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vertAlign w:val="baseline"/>
          <w:rtl w:val="0"/>
        </w:rPr>
        <w:t xml:space="preserve"> для  размещения  промышленного </w:t>
      </w:r>
      <w:r w:rsidDel="00000000" w:rsidR="00000000" w:rsidRPr="00000000">
        <w:rPr>
          <w:b w:val="1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производства </w:t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b w:val="1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Волжское с/п, Заволжский  район,  Ивановская  область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8.0" w:type="dxa"/>
        <w:jc w:val="left"/>
        <w:tblInd w:w="0.0" w:type="dxa"/>
        <w:tblLayout w:type="fixed"/>
        <w:tblLook w:val="0000"/>
      </w:tblPr>
      <w:tblGrid>
        <w:gridCol w:w="3192"/>
        <w:gridCol w:w="7146"/>
        <w:tblGridChange w:id="0">
          <w:tblGrid>
            <w:gridCol w:w="3192"/>
            <w:gridCol w:w="7146"/>
          </w:tblGrid>
        </w:tblGridChange>
      </w:tblGrid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after="0" w:before="0" w:lineRule="auto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Класс объекта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Земельный участок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Кадастровая стоимость участка (руб.)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6179345,59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Категория земель(формулировка в соответствии с Земельным Кодексом РФ)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  <w:p w:rsidR="00000000" w:rsidDel="00000000" w:rsidP="00000000" w:rsidRDefault="00000000" w:rsidRPr="00000000" w14:paraId="0000000B">
            <w:pPr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Назначение земельного участка (промышленное, жилищное, общественное, сельскохозяйственное использование или любое)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промышленное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Описание земельного участка (форма, рельеф и т.п.)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Почва — суглинок</w:t>
            </w:r>
          </w:p>
          <w:p w:rsidR="00000000" w:rsidDel="00000000" w:rsidP="00000000" w:rsidRDefault="00000000" w:rsidRPr="00000000" w14:paraId="00000010">
            <w:pPr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Уровень грунтовых вод - определяется изысканиями</w:t>
            </w:r>
          </w:p>
          <w:p w:rsidR="00000000" w:rsidDel="00000000" w:rsidP="00000000" w:rsidRDefault="00000000" w:rsidRPr="00000000" w14:paraId="00000011">
            <w:pPr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Глубина промерзания грунта - не более 1,7 м</w:t>
            </w:r>
          </w:p>
          <w:p w:rsidR="00000000" w:rsidDel="00000000" w:rsidP="00000000" w:rsidRDefault="00000000" w:rsidRPr="00000000" w14:paraId="00000012">
            <w:pPr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Влияние карста на строительство и эксплуатацию зданий (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да/нет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) нет</w:t>
            </w:r>
          </w:p>
          <w:p w:rsidR="00000000" w:rsidDel="00000000" w:rsidP="00000000" w:rsidRDefault="00000000" w:rsidRPr="00000000" w14:paraId="00000013">
            <w:pPr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Рельеф площадки - спокойный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Площадь (га)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3,72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Rule="auto"/>
              <w:rPr>
                <w:sz w:val="24"/>
                <w:szCs w:val="24"/>
                <w:highlight w:val="black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Описание местоположение объекта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after="0" w:before="0" w:lineRule="auto"/>
              <w:jc w:val="both"/>
              <w:rPr>
                <w:sz w:val="24"/>
                <w:szCs w:val="24"/>
                <w:highlight w:val="black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Район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Заволжский район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Населенный пункт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Ивановская область, Заволжский район, примерно в 450 м по направлению на северо-запад от с. Придорожный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Собственник  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Государственная не разграниченная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Контактное лицо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(Ф.И.О.)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Глава Заволжского муниципального района — Потанин  Андрей Валерьевич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Координаты для контакта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both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155410, Ивановская область, г. Заволжск, ул. Мира, д.7  </w:t>
            </w:r>
          </w:p>
          <w:p w:rsidR="00000000" w:rsidDel="00000000" w:rsidP="00000000" w:rsidRDefault="00000000" w:rsidRPr="00000000" w14:paraId="00000022">
            <w:pPr>
              <w:jc w:val="both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Телефон:  8 (49333) 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6-00-48 (доб.131)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Первичное назначение объекта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1"/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Rule="auto"/>
              <w:rPr>
                <w:b w:val="0"/>
                <w:color w:val="000000"/>
                <w:sz w:val="24"/>
                <w:szCs w:val="24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Возможное направление использования участка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after="0" w:before="0" w:lineRule="auto"/>
              <w:jc w:val="left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Для размещения промышленных объектов (для строительства промышленного объекта по производству синтетических смол и формалина)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Инженерные коммуникации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Водопровод (наличие, возможность подключения,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точки подключения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, возможность бурения скважин)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Отсутствует. Возможно бурение скважины, проведение технического водопровода из р. Волга — 1,8 км, проведение резервного водопровода из городских водопроводных сетей г. Заволжск — 1,5 км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Электроэнергия (имеющаяся мощность в наличии, возможность подключения,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точки подключения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Возможно подключение к существующим электрическим сетям: основной вариант-0,2 км, резервная линия-1,7 км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Отопление (состояние, возможность подключения,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точки подключения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Отсутствует.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Газ (имеющаяся мощность в наличии, возможность подключения,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точки подключения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Возможно подключение газа (природный магистральный) при разработке и согласовании технических условий. Расстояние до ПГБ газопровода1,5 км.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Канализация (состояние, возможность подключения, </w:t>
            </w: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точки подключения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Отсутствует. Возможно строительство локальных очистных сооружений</w:t>
            </w: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, подключение к канализации в городской коллектор-1,5 км (при получении необходимой документации).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Подъездные пути</w:t>
            </w: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Собственные подъездные пути (имеются, асфальтная или грунтовая дорога, по пересечённой местности, отсутствуют)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Дорога из железо-бетонных плит.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Собственная железнодорожная ветка (имеется, отсутствует)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Отсутствует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основных автомагистралей, наименование автомагистралей (км)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Расстояние до прочих автомагистралей: до мостового перехода через р. Волга-3 км, до автодороги Заволжск-Колшево-0,5 км, до автодороги Заволжск-Кострома — 3,5 км.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ближайшей ж/д станции (км)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1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0,4 км до ж/д станции Первушино-Заволжск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возможной точки врезки в ж/д пути (км)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ind w:left="118" w:right="0" w:firstLine="0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0,4 км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Расстояние до ближайшего жилья (км)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Rule="auto"/>
              <w:ind w:left="118" w:right="0" w:firstLine="0"/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1 км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Картографические материалы (карта расположения объекта на местности, либо кадастровый план территории) по возможности кадастровые выписки(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Формат JPG)</w:t>
            </w:r>
          </w:p>
          <w:p w:rsidR="00000000" w:rsidDel="00000000" w:rsidP="00000000" w:rsidRDefault="00000000" w:rsidRPr="00000000" w14:paraId="00000042">
            <w:pPr>
              <w:spacing w:after="0" w:before="0" w:lineRule="auto"/>
              <w:rPr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Фотография объекта (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Формат JPG)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C">
            <w:pPr>
              <w:spacing w:after="0" w:before="0" w:lineRule="auto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u w:val="single"/>
                <w:vertAlign w:val="baseline"/>
                <w:rtl w:val="0"/>
              </w:rPr>
              <w:t xml:space="preserve">Юридическая документация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both"/>
              <w:rPr>
                <w:color w:val="000000"/>
                <w:sz w:val="24"/>
                <w:szCs w:val="24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Наименование и номер документа (договор аренды, свидетельство о праве собственности)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Вид права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Обременения 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Процент готовности (наличие или стадия готовности землеустроительной документации)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Участок сформирован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кадастровый номер — 37:04:030810:336</w:t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Rule="auto"/>
              <w:rPr>
                <w:color w:val="000000"/>
                <w:sz w:val="24"/>
                <w:szCs w:val="24"/>
                <w:highlight w:val="white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Предполагаемая форма участия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jc w:val="both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highlight w:val="white"/>
                <w:vertAlign w:val="baseline"/>
                <w:rtl w:val="0"/>
              </w:rPr>
              <w:t xml:space="preserve">Приобретение в собственность или заключение договора аренды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Rule="auto"/>
              <w:rPr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Дополнительные сведения (длительность прохождения административных процедур и т.п.)</w:t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jc w:val="center"/>
              <w:rPr>
                <w:b w:val="1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Rule="auto"/>
              <w:rPr>
                <w:b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Дата подготовки сведений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c0c0c0" w:space="0" w:sz="4" w:val="single"/>
              <w:bottom w:color="c0c0c0" w:space="0" w:sz="4" w:val="single"/>
              <w:right w:color="c0c0c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20.08.2021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280" w:before="28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902" w:top="720" w:left="567" w:right="56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