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4" w:rsidRPr="00B945A7" w:rsidRDefault="002C2E47" w:rsidP="002C2E47">
      <w:pPr>
        <w:shd w:val="clear" w:color="auto" w:fill="FFFFFF"/>
        <w:spacing w:after="0" w:line="240" w:lineRule="auto"/>
        <w:jc w:val="center"/>
        <w:textAlignment w:val="baseline"/>
        <w:rPr>
          <w:rFonts w:ascii="PTSansRegular" w:eastAsia="Times New Roman" w:hAnsi="PTSansRegular" w:cs="Times New Roman"/>
          <w:b/>
          <w:color w:val="EB4F32"/>
          <w:sz w:val="32"/>
          <w:szCs w:val="32"/>
          <w:lang w:eastAsia="ru-RU"/>
        </w:rPr>
      </w:pPr>
      <w:r w:rsidRPr="00B945A7">
        <w:rPr>
          <w:rFonts w:ascii="Times New Roman" w:hAnsi="Times New Roman" w:cs="Times New Roman"/>
          <w:b/>
          <w:sz w:val="32"/>
          <w:szCs w:val="32"/>
        </w:rPr>
        <w:t>Неиспользуемый имущественный комплекс льнозавода в с</w:t>
      </w:r>
      <w:proofErr w:type="gramStart"/>
      <w:r w:rsidRPr="00B945A7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B945A7">
        <w:rPr>
          <w:rFonts w:ascii="Times New Roman" w:hAnsi="Times New Roman" w:cs="Times New Roman"/>
          <w:b/>
          <w:sz w:val="32"/>
          <w:szCs w:val="32"/>
        </w:rPr>
        <w:t>ыт</w:t>
      </w:r>
    </w:p>
    <w:p w:rsidR="00F464A4" w:rsidRDefault="00F464A4" w:rsidP="009D34AB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</w:pP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Тип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proofErr w:type="gramStart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коричневая</w:t>
      </w:r>
      <w:proofErr w:type="gramEnd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.  Здания и сооружения находятся в полуразрушенном состоянии.</w:t>
      </w:r>
      <w:r w:rsidR="00B945A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Для организации производства необходимо новое строительство.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Расположение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: северо-западная окраина с</w:t>
      </w:r>
      <w:proofErr w:type="gramStart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.М</w:t>
      </w:r>
      <w:proofErr w:type="gramEnd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 xml:space="preserve">ыт </w:t>
      </w:r>
      <w:proofErr w:type="spellStart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Верхнеландеховского</w:t>
      </w:r>
      <w:proofErr w:type="spellEnd"/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 xml:space="preserve"> района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Категория земель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Земли </w:t>
      </w:r>
      <w:r w:rsidR="00C30319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населенных пунктов</w:t>
      </w:r>
    </w:p>
    <w:p w:rsidR="00C30319" w:rsidRDefault="009D34AB" w:rsidP="00B945A7">
      <w:pPr>
        <w:shd w:val="clear" w:color="auto" w:fill="FFFFFF"/>
        <w:spacing w:after="0" w:line="240" w:lineRule="auto"/>
        <w:jc w:val="both"/>
        <w:textAlignment w:val="baseline"/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Кадастровый номер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Кадастровый номер </w:t>
      </w:r>
      <w:hyperlink r:id="rId4" w:tgtFrame="_blank" w:history="1">
        <w:r w:rsidRPr="009D34AB">
          <w:rPr>
            <w:rFonts w:ascii="PTSansRegular" w:eastAsia="Times New Roman" w:hAnsi="PTSansRegular" w:cs="Times New Roman"/>
            <w:color w:val="EB4F32"/>
            <w:sz w:val="24"/>
            <w:szCs w:val="24"/>
            <w:u w:val="single"/>
            <w:lang w:eastAsia="ru-RU"/>
          </w:rPr>
          <w:t>37:0</w:t>
        </w:r>
        <w:r w:rsidR="00C30319">
          <w:rPr>
            <w:rFonts w:ascii="PTSansRegular" w:eastAsia="Times New Roman" w:hAnsi="PTSansRegular" w:cs="Times New Roman"/>
            <w:color w:val="EB4F32"/>
            <w:sz w:val="24"/>
            <w:szCs w:val="24"/>
            <w:u w:val="single"/>
            <w:lang w:eastAsia="ru-RU"/>
          </w:rPr>
          <w:t>1</w:t>
        </w:r>
        <w:r w:rsidRPr="009D34AB">
          <w:rPr>
            <w:rFonts w:ascii="PTSansRegular" w:eastAsia="Times New Roman" w:hAnsi="PTSansRegular" w:cs="Times New Roman"/>
            <w:color w:val="EB4F32"/>
            <w:sz w:val="24"/>
            <w:szCs w:val="24"/>
            <w:u w:val="single"/>
            <w:lang w:eastAsia="ru-RU"/>
          </w:rPr>
          <w:t>011</w:t>
        </w:r>
        <w:r w:rsidR="00C30319">
          <w:rPr>
            <w:rFonts w:ascii="PTSansRegular" w:eastAsia="Times New Roman" w:hAnsi="PTSansRegular" w:cs="Times New Roman"/>
            <w:color w:val="EB4F32"/>
            <w:sz w:val="24"/>
            <w:szCs w:val="24"/>
            <w:u w:val="single"/>
            <w:lang w:eastAsia="ru-RU"/>
          </w:rPr>
          <w:t>0:552</w:t>
        </w:r>
      </w:hyperlink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Площадь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C30319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80970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кв.м.</w:t>
      </w:r>
      <w:r w:rsidR="00AA056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, имеется возможность расширения до 220000 кв.м.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Форма участия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аренда</w:t>
      </w:r>
      <w:r w:rsidR="00AA056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, собственность</w:t>
      </w:r>
    </w:p>
    <w:p w:rsidR="009D34AB" w:rsidRPr="009D34AB" w:rsidRDefault="009D34AB" w:rsidP="00B945A7">
      <w:pPr>
        <w:shd w:val="clear" w:color="auto" w:fill="FFFFFF"/>
        <w:spacing w:before="150" w:after="0" w:line="240" w:lineRule="auto"/>
        <w:jc w:val="both"/>
        <w:textAlignment w:val="baseline"/>
        <w:outlineLvl w:val="3"/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</w:pPr>
      <w:r w:rsidRPr="009D34AB"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  <w:t>Инженерная готовность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Электроснабжение</w:t>
      </w:r>
      <w:r w:rsidR="00AA0567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AA0567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400</w:t>
      </w:r>
      <w:r w:rsidR="00AA0567" w:rsidRPr="00AA0567">
        <w:rPr>
          <w:rFonts w:ascii="Times New Roman" w:hAnsi="Times New Roman" w:cs="Times New Roman"/>
          <w:color w:val="000000"/>
          <w:sz w:val="24"/>
          <w:szCs w:val="24"/>
        </w:rPr>
        <w:t xml:space="preserve"> кВт, </w:t>
      </w:r>
      <w:r w:rsidR="00D323A9">
        <w:rPr>
          <w:rFonts w:ascii="Times New Roman" w:hAnsi="Times New Roman" w:cs="Times New Roman"/>
          <w:color w:val="000000"/>
          <w:sz w:val="24"/>
          <w:szCs w:val="24"/>
        </w:rPr>
        <w:t xml:space="preserve">имеется </w:t>
      </w:r>
      <w:r w:rsidR="00AA0567" w:rsidRPr="00AA056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D323A9">
        <w:rPr>
          <w:rFonts w:ascii="Times New Roman" w:hAnsi="Times New Roman" w:cs="Times New Roman"/>
          <w:color w:val="000000"/>
          <w:sz w:val="24"/>
          <w:szCs w:val="24"/>
        </w:rPr>
        <w:t>увеличения присоединенной мощности до 1500 кВт.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Водоснабжение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устройство собственной артезианской скважины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.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Водоотведение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D323A9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строительство системы водоотведения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.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Газоснабжение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Есть возможность подключения,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расстояние от точки подключения до границы земельного участка 1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00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м</w:t>
      </w:r>
      <w:r w:rsidR="002C2E4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.</w:t>
      </w:r>
    </w:p>
    <w:p w:rsidR="00B945A7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Отопление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B945A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Есть возможность подключения,</w:t>
      </w:r>
      <w:r w:rsidR="00B945A7"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расстояние от точки подключения до границы земельного участка 1</w:t>
      </w:r>
      <w:r w:rsidR="00B945A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00</w:t>
      </w:r>
      <w:r w:rsidR="00B945A7"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м</w:t>
      </w:r>
      <w:r w:rsidR="00B945A7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.</w:t>
      </w:r>
    </w:p>
    <w:p w:rsidR="009D34AB" w:rsidRPr="009D34AB" w:rsidRDefault="009D34AB" w:rsidP="00B945A7">
      <w:pPr>
        <w:shd w:val="clear" w:color="auto" w:fill="FFFFFF"/>
        <w:spacing w:before="150" w:after="0" w:line="240" w:lineRule="auto"/>
        <w:jc w:val="both"/>
        <w:textAlignment w:val="baseline"/>
        <w:outlineLvl w:val="3"/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</w:pPr>
      <w:r w:rsidRPr="009D34AB"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  <w:t>Подъездные пути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Наличие автомобильных подъездных путей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D323A9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Автодорога с грунтовым покрытием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Наличие ж/</w:t>
      </w:r>
      <w:proofErr w:type="spellStart"/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д</w:t>
      </w:r>
      <w:proofErr w:type="spellEnd"/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 xml:space="preserve"> ветки</w:t>
      </w:r>
      <w:r w:rsidR="00D323A9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Нет</w:t>
      </w:r>
    </w:p>
    <w:p w:rsidR="00D323A9" w:rsidRDefault="00F04C86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Расстояни</w:t>
      </w:r>
      <w:r w:rsidR="009D34AB"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е до основных автомагистралей</w:t>
      </w:r>
      <w:r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:</w:t>
      </w:r>
      <w:r w:rsidR="009D34AB"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9D34AB"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1 км </w:t>
      </w:r>
      <w:r w:rsidR="009D34AB" w:rsidRPr="00D323A9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D323A9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региональной автодороги </w:t>
      </w:r>
      <w:r w:rsidR="00D323A9" w:rsidRPr="00D323A9">
        <w:rPr>
          <w:rFonts w:ascii="Times New Roman" w:hAnsi="Times New Roman" w:cs="Times New Roman"/>
          <w:sz w:val="24"/>
          <w:szCs w:val="24"/>
        </w:rPr>
        <w:t>Ростов – Иваново – Нижний Новгород</w:t>
      </w:r>
      <w:r w:rsidR="00D323A9"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 xml:space="preserve"> </w:t>
      </w:r>
    </w:p>
    <w:p w:rsidR="009D34AB" w:rsidRPr="009D34AB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Расстояние до ближайшей ж/</w:t>
      </w:r>
      <w:proofErr w:type="spellStart"/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д</w:t>
      </w:r>
      <w:proofErr w:type="spellEnd"/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 xml:space="preserve"> станции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r w:rsidR="00D323A9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60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 км (до ст. </w:t>
      </w:r>
      <w:r w:rsidR="00D323A9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Шуя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bdr w:val="none" w:sz="0" w:space="0" w:color="auto" w:frame="1"/>
          <w:lang w:eastAsia="ru-RU"/>
        </w:rPr>
        <w:t>)</w:t>
      </w:r>
    </w:p>
    <w:p w:rsidR="009D34AB" w:rsidRPr="009D34AB" w:rsidRDefault="009D34AB" w:rsidP="00B945A7">
      <w:pPr>
        <w:shd w:val="clear" w:color="auto" w:fill="FFFFFF"/>
        <w:spacing w:before="150" w:after="0" w:line="240" w:lineRule="auto"/>
        <w:jc w:val="both"/>
        <w:textAlignment w:val="baseline"/>
        <w:outlineLvl w:val="3"/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</w:pPr>
      <w:r w:rsidRPr="009D34AB">
        <w:rPr>
          <w:rFonts w:ascii="CirceBold" w:eastAsia="Times New Roman" w:hAnsi="CirceBold" w:cs="Times New Roman"/>
          <w:color w:val="161616"/>
          <w:sz w:val="27"/>
          <w:szCs w:val="27"/>
          <w:lang w:eastAsia="ru-RU"/>
        </w:rPr>
        <w:t>Контактная информация</w:t>
      </w:r>
    </w:p>
    <w:p w:rsidR="00D323A9" w:rsidRPr="002F17D0" w:rsidRDefault="009D34AB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AB"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  <w:t>Контактное лицо</w:t>
      </w:r>
      <w:r w:rsidRPr="009D34AB">
        <w:rPr>
          <w:rFonts w:ascii="PTSansRegular" w:eastAsia="Times New Roman" w:hAnsi="PTSansRegular" w:cs="Times New Roman"/>
          <w:color w:val="161616"/>
          <w:sz w:val="24"/>
          <w:szCs w:val="24"/>
          <w:lang w:eastAsia="ru-RU"/>
        </w:rPr>
        <w:t> </w:t>
      </w:r>
      <w:proofErr w:type="spellStart"/>
      <w:r w:rsidR="00D3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Размахова</w:t>
      </w:r>
      <w:proofErr w:type="spellEnd"/>
      <w:r w:rsidR="00D3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Галина Ивановна</w:t>
      </w:r>
    </w:p>
    <w:p w:rsidR="00D323A9" w:rsidRPr="002F17D0" w:rsidRDefault="00D323A9" w:rsidP="00B94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</w:t>
      </w:r>
      <w:r w:rsidRPr="002F1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+7 9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06</w:t>
      </w:r>
      <w:r w:rsidRPr="002F1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514</w:t>
      </w:r>
      <w:r w:rsidRPr="002F1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</w:t>
      </w:r>
      <w:r w:rsidRPr="002F1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</w:p>
    <w:p w:rsidR="00D97EEC" w:rsidRDefault="009D34AB" w:rsidP="00D323A9">
      <w:pPr>
        <w:shd w:val="clear" w:color="auto" w:fill="FFFFFF"/>
        <w:spacing w:after="0" w:line="240" w:lineRule="auto"/>
        <w:textAlignment w:val="baseline"/>
      </w:pPr>
      <w:r>
        <w:t xml:space="preserve"> </w:t>
      </w:r>
    </w:p>
    <w:p w:rsidR="00F9558B" w:rsidRDefault="00F9558B" w:rsidP="00D323A9">
      <w:pPr>
        <w:shd w:val="clear" w:color="auto" w:fill="FFFFFF"/>
        <w:spacing w:after="0" w:line="240" w:lineRule="auto"/>
        <w:textAlignment w:val="baseline"/>
      </w:pPr>
      <w:r>
        <w:rPr>
          <w:noProof/>
          <w:lang w:eastAsia="ru-RU"/>
        </w:rPr>
        <w:drawing>
          <wp:inline distT="0" distB="0" distL="0" distR="0">
            <wp:extent cx="5940425" cy="3343682"/>
            <wp:effectExtent l="19050" t="0" r="3175" b="0"/>
            <wp:docPr id="1" name="Рисунок 1" descr="O:\Осипова\фото мыт\DSC0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сипова\фото мыт\DSC00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8B" w:rsidRDefault="00F9558B" w:rsidP="00D323A9">
      <w:pPr>
        <w:shd w:val="clear" w:color="auto" w:fill="FFFFFF"/>
        <w:spacing w:after="0" w:line="240" w:lineRule="auto"/>
        <w:textAlignment w:val="baseline"/>
      </w:pPr>
    </w:p>
    <w:p w:rsidR="00F9558B" w:rsidRDefault="00F9558B" w:rsidP="00D323A9">
      <w:pPr>
        <w:shd w:val="clear" w:color="auto" w:fill="FFFFFF"/>
        <w:spacing w:after="0" w:line="240" w:lineRule="auto"/>
        <w:textAlignment w:val="baseline"/>
      </w:pPr>
    </w:p>
    <w:p w:rsidR="00F9558B" w:rsidRDefault="00F9558B" w:rsidP="00D323A9">
      <w:pPr>
        <w:shd w:val="clear" w:color="auto" w:fill="FFFFFF"/>
        <w:spacing w:after="0" w:line="240" w:lineRule="auto"/>
        <w:textAlignment w:val="baseline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3682"/>
            <wp:effectExtent l="19050" t="0" r="3175" b="0"/>
            <wp:docPr id="2" name="Рисунок 2" descr="O:\Осипова\фото мыт\DSC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сипова\фото мыт\DSC0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58B" w:rsidSect="00D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AB"/>
    <w:rsid w:val="002C2E47"/>
    <w:rsid w:val="003A7337"/>
    <w:rsid w:val="004E3E0D"/>
    <w:rsid w:val="009D34AB"/>
    <w:rsid w:val="00AA0567"/>
    <w:rsid w:val="00AB2296"/>
    <w:rsid w:val="00B945A7"/>
    <w:rsid w:val="00C30319"/>
    <w:rsid w:val="00D323A9"/>
    <w:rsid w:val="00D97EEC"/>
    <w:rsid w:val="00F04C86"/>
    <w:rsid w:val="00F464A4"/>
    <w:rsid w:val="00F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C"/>
  </w:style>
  <w:style w:type="paragraph" w:styleId="2">
    <w:name w:val="heading 2"/>
    <w:basedOn w:val="a"/>
    <w:link w:val="20"/>
    <w:uiPriority w:val="9"/>
    <w:qFormat/>
    <w:rsid w:val="009D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3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9D34AB"/>
  </w:style>
  <w:style w:type="character" w:styleId="a4">
    <w:name w:val="Hyperlink"/>
    <w:basedOn w:val="a0"/>
    <w:uiPriority w:val="99"/>
    <w:semiHidden/>
    <w:unhideWhenUsed/>
    <w:rsid w:val="009D3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grp365.ru/p_map/?kadnum=37:05:011137: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2019-09-06T08:39:00Z</cp:lastPrinted>
  <dcterms:created xsi:type="dcterms:W3CDTF">2019-09-05T13:34:00Z</dcterms:created>
  <dcterms:modified xsi:type="dcterms:W3CDTF">2019-09-09T11:25:00Z</dcterms:modified>
</cp:coreProperties>
</file>